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24"/>
    <w:p>
      <w:pPr>
        <w:pStyle w:val="Heading1"/>
      </w:pPr>
      <w:r>
        <w:t xml:space="preserve">Homiletics Analysis: Leviticus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Unit:</w:t>
      </w:r>
      <w:r>
        <w:t xml:space="preserve"> </w:t>
      </w:r>
      <w:r>
        <w:t xml:space="preserve">Leviticus 24 sits within the broader holiness code of Leviticus (chapters 17–27), which governs Israel’s life as a covenant people dwelling in the presence of the holy God. The immediate context is significant: chapters 23 addressed the sacred calendar (the LORD’s appointed feasts), and chapter 25 will address the sabbatical and jubilee years. Chapter 24 is not a digression but a hinge — it moves from the temporal structure of Israel’s worship calendar to the spatial and relational structure of covenant life in the camp. The broader unit’s governing concern is:</w:t>
      </w:r>
      <w:r>
        <w:t xml:space="preserve"> </w:t>
      </w:r>
      <w:r>
        <w:rPr>
          <w:i/>
          <w:iCs/>
        </w:rPr>
        <w:t xml:space="preserve">how does a sinful people live in sustainable fellowship with a holy God?</w:t>
      </w:r>
      <w:r>
        <w:t xml:space="preserve"> </w:t>
      </w:r>
      <w:r>
        <w:t xml:space="preserve">Chapter 24 contributes to that concern by addressing two dimensions: the maintenance of sacred space (the lampstand and showbread) and the maintenance of sacred community (the blasphemy incident and the lex talionis laws).</w:t>
      </w:r>
    </w:p>
    <w:p>
      <w:pPr>
        <w:pStyle w:val="BodyText"/>
      </w:pPr>
      <w:r>
        <w:rPr>
          <w:b/>
          <w:bCs/>
        </w:rPr>
        <w:t xml:space="preserve">This Text — Content:</w:t>
      </w:r>
      <w:r>
        <w:t xml:space="preserve"> </w:t>
      </w:r>
      <w:r>
        <w:t xml:space="preserve">Leviticus 24 contains three distinct but thematically unified movements. First (vv. 1–4), God commands the perpetual maintenance of the lampstand in the tabernacle — pure olive oil, Aaron’s responsibility, a statute forever. Second (vv. 5–9), God commands the weekly preparation and placement of the showbread — twelve loaves, arranged in two rows, replaced each Sabbath, eaten by Aaron and his sons as a covenant portion. Third (vv. 10–23), a narrative interrupts the legal material: a man of mixed Israelite-Egyptian heritage blasphemes the Name during a fight; he is brought before Moses; God pronounces judgment (death by stoning); the judgment is carried out; and the incident prompts a recapitulation of the lex talionis principle and the equal application of the law to both native-born Israelite and resident alien. The chapter closes by confirming that Israel carried out the sentence.</w:t>
      </w:r>
    </w:p>
    <w:p>
      <w:pPr>
        <w:pStyle w:val="BodyText"/>
      </w:pPr>
      <w:r>
        <w:rPr>
          <w:b/>
          <w:bCs/>
        </w:rPr>
        <w:t xml:space="preserve">This Text — Intent:</w:t>
      </w:r>
      <w:r>
        <w:t xml:space="preserve"> </w:t>
      </w:r>
      <w:r>
        <w:t xml:space="preserve">God is seeking to accomplish two interrelated effects through this passage. First, He is pressing upon Israel the uncompromising seriousness of His holiness — the Name of the LORD cannot be treated as common without mortal consequence, and the sacred space of the tabernacle requires constant, reverent, costly maintenance. Second, He is establishing that His covenant law applies equally to all persons in the community — there is no ethnic exemption from the obligations of holiness, and there is no ethnic exclusion from its protections. Taken together, God is calling His people to a comprehensive reverence: reverence for His Name in speech, reverence for His presence in sacred space, and reverence for His justice in community life. The intent is not merely to communicate these truths but to produce in Israel — and in the reader — a posture of holy awe before the God who dwells in the camp.</w:t>
      </w:r>
    </w:p>
    <w:p>
      <w:r>
        <w:pict>
          <v:rect style="width:0;height:1.5pt" o:hralign="center" o:hrstd="t" o:hr="t"/>
        </w:pict>
      </w:r>
    </w:p>
    <w:p>
      <w:pPr>
        <w:pStyle w:val="FirstParagraph"/>
      </w:pPr>
      <w:r>
        <w:rPr>
          <w:b/>
          <w:bCs/>
        </w:rPr>
        <w:t xml:space="preserve">Subject Sentence:</w:t>
      </w:r>
      <w:r>
        <w:t xml:space="preserve"> </w:t>
      </w:r>
      <w:r>
        <w:t xml:space="preserve">The LORD’s holiness governs sacred space, the divine Name, and covenant justice equally.</w:t>
      </w:r>
    </w:p>
    <w:p>
      <w:r>
        <w:pict>
          <v:rect style="width:0;height:1.5pt" o:hralign="center" o:hrstd="t" o:hr="t"/>
        </w:pict>
      </w:r>
    </w:p>
    <w:p>
      <w:pPr>
        <w:pStyle w:val="FirstParagraph"/>
      </w:pPr>
      <w:r>
        <w:rPr>
          <w:b/>
          <w:bCs/>
        </w:rPr>
        <w:t xml:space="preserve">Primary Claim:</w:t>
      </w:r>
      <w:r>
        <w:t xml:space="preserve"> </w:t>
      </w:r>
      <w:r>
        <w:t xml:space="preserve">God is pressing upon His covenant people that His holiness is not negotiable in any domain — not in the tabernacle’s lamplight, not in the Sabbath bread, not in a man’s mouth — and that the equal, exacting application of His justice is itself an expression of His grace toward a community that cannot survive His presence unguarded.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narrative interruption (vv. 10–23) and its relationship to the surrounding laws:</w:t>
      </w:r>
      <w:r>
        <w:t xml:space="preserve"> </w:t>
      </w:r>
      <w:r>
        <w:t xml:space="preserve">The most significant interpretive question in Leviticus 24 is the relationship between the narrative account of the blasphemer (vv. 10–23) and the preceding legal sections (vv. 1–9). Some interpreters treat the narrative as essentially disconnected — a historical incident inserted between legal codes, perhaps preserved here for archival reasons. This reading should be refuted. The narrative functions precisely as the test case that makes the surrounding legislation legible. The lampstand and the showbread laws establish that the LORD’s presence in the camp must be maintained at continual cost and with perpetual reverence. The blasphemy incident then asks: what happens when that reverence is violated not in the ritual sphere but in the speech of daily life? The incident is not a digression — it is the passage’s climactic claim in narrative form. The legal summary at the end (vv. 17–22) is not a separate code but the doctrinal unpacking of what the narrative event demonstrated.</w:t>
      </w:r>
    </w:p>
    <w:p>
      <w:pPr>
        <w:pStyle w:val="BodyText"/>
      </w:pPr>
      <w:r>
        <w:rPr>
          <w:b/>
          <w:bCs/>
        </w:rPr>
        <w:t xml:space="preserve">The lex talionis (vv. 17–22) — literal physical mutilation or judicial equivalence?</w:t>
      </w:r>
      <w:r>
        <w:t xml:space="preserve"> </w:t>
      </w:r>
      <w:r>
        <w:t xml:space="preserve">The lex talionis formula (</w:t>
      </w:r>
      <w:r>
        <w:t xml:space="preserve">“eye for eye, tooth for tooth”</w:t>
      </w:r>
      <w:r>
        <w:t xml:space="preserve">) has generated significant interpretive divergence. A literal reading — common in some strands of ancient Near Eastern law and occasionally invoked in popular Christianity — suggests the text mandates physical retaliation in kind. This reading should be qualified significantly. The scholarly and historical consensus among both Jewish rabbinic tradition and most Reformed exegetes is that the formula establishes the</w:t>
      </w:r>
      <w:r>
        <w:t xml:space="preserve"> </w:t>
      </w:r>
      <w:r>
        <w:rPr>
          <w:i/>
          <w:iCs/>
        </w:rPr>
        <w:t xml:space="preserve">principle of proportionality</w:t>
      </w:r>
      <w:r>
        <w:t xml:space="preserve"> </w:t>
      </w:r>
      <w:r>
        <w:t xml:space="preserve">in judicial sentencing — no more than equivalent penalty may be imposed. The formula functions as a limiting principle (maximum proportionality) rather than a prescriptive procedure (literal physical replication). Jesus’ teaching in Matthew 5:38–39 does not repudiate this formula but addresses its misappropriation as a personal right to retaliate — a perversion the original law never sanctioned. The Reformed reading preserves both the formula’s judicial force and its redemptive-historical trajectory toward the One who would absorb the full lex talionis on behalf of His people.</w:t>
      </w:r>
    </w:p>
    <w:p>
      <w:pPr>
        <w:pStyle w:val="BodyText"/>
      </w:pPr>
      <w:r>
        <w:rPr>
          <w:b/>
          <w:bCs/>
        </w:rPr>
        <w:t xml:space="preserve">The equal application clause (vv. 16, 22) — ethnic inclusion or proto-universalism?</w:t>
      </w:r>
      <w:r>
        <w:t xml:space="preserve"> </w:t>
      </w:r>
      <w:r>
        <w:t xml:space="preserve">Some traditions, particularly certain strands of progressive Christian theology, read verses 16 and 22 as a proto-universalist statement: all people are equally sacred, equally protected, and equally included in God’s covenant regardless of ethnic origin. This reading should be acknowledged for the genuine insight it contains and then qualified. The text does establish genuine equality before the law — the resident alien (גֵּר,</w:t>
      </w:r>
      <w:r>
        <w:t xml:space="preserve"> </w:t>
      </w:r>
      <w:r>
        <w:rPr>
          <w:i/>
          <w:iCs/>
        </w:rPr>
        <w:t xml:space="preserve">ger</w:t>
      </w:r>
      <w:r>
        <w:t xml:space="preserve">) bears the same obligations and receives the same protections as the native-born Israelite (אֶזְרָח,</w:t>
      </w:r>
      <w:r>
        <w:t xml:space="preserve"> </w:t>
      </w:r>
      <w:r>
        <w:rPr>
          <w:i/>
          <w:iCs/>
        </w:rPr>
        <w:t xml:space="preserve">ezrach</w:t>
      </w:r>
      <w:r>
        <w:t xml:space="preserve">). This is remarkable in its ancient context and is not to be domesticated. However, the equality here is specifically</w:t>
      </w:r>
      <w:r>
        <w:t xml:space="preserve"> </w:t>
      </w:r>
      <w:r>
        <w:rPr>
          <w:i/>
          <w:iCs/>
        </w:rPr>
        <w:t xml:space="preserve">judicial and covenantal equality within the theocratic community</w:t>
      </w:r>
      <w:r>
        <w:t xml:space="preserve"> </w:t>
      </w:r>
      <w:r>
        <w:t xml:space="preserve">— not a statement about the soteriological status of all nations, nor an erasure of Israel’s distinct calling. The alien who blasphemes faces the same judgment; the alien who dwells in the community is protected by the same law. The Reformed reading affirms the genuine force of this equality while anchoring it in its covenantal frame — which ultimately points forward to the one new man in Christ (Ephesians 2:14–15), where the dividing wall is not merely lowered but abolished.</w:t>
      </w:r>
    </w:p>
    <w:p>
      <w:pPr>
        <w:pStyle w:val="BodyText"/>
      </w:pPr>
      <w:r>
        <w:rPr>
          <w:b/>
          <w:bCs/>
        </w:rPr>
        <w:t xml:space="preserve">The death penalty for blasphemy — pastoral and canonical handling:</w:t>
      </w:r>
      <w:r>
        <w:t xml:space="preserve"> </w:t>
      </w:r>
      <w:r>
        <w:t xml:space="preserve">Many contemporary readers and preachers are uneasy with the capital sentence for blasphemy and either explain it away (as culturally conditioned) or avoid the text. Both responses should be refuted as pastoral failures. The death penalty in the theocratic context functions as a statement about what the community cannot survive — not arbitrariness but holy necessity. A community living in the immediate presence of the holy God cannot tolerate the desecration of His Name without communal consequences. The New Testament does not directly parallel this sentence, but the severity of Ananias and Sapphira (Acts 5) and the solemn warnings of Hebrews 10:26–31 carry analogous weight. The Reformed reading does not apologize for the severity but asks:</w:t>
      </w:r>
      <w:r>
        <w:t xml:space="preserve"> </w:t>
      </w:r>
      <w:r>
        <w:rPr>
          <w:i/>
          <w:iCs/>
        </w:rPr>
        <w:t xml:space="preserve">what does this severity reveal about the weight of the Name being profaned?</w:t>
      </w:r>
      <w:r>
        <w:t xml:space="preserve"> </w:t>
      </w:r>
      <w:r>
        <w:t xml:space="preserve">— and then presses that weight upon the reader.</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27:20–21</w:t>
      </w:r>
      <w:r>
        <w:t xml:space="preserve"> </w:t>
      </w:r>
      <w:r>
        <w:t xml:space="preserve">— The original lampstand command establishes the perpetual nature of the obligation and Aaron’s priestly responsibility; Leviticus 24 restates and deepens it, embedding it in the holiness code.</w:t>
      </w:r>
    </w:p>
    <w:p>
      <w:pPr>
        <w:pStyle w:val="Compact"/>
        <w:numPr>
          <w:ilvl w:val="0"/>
          <w:numId w:val="1001"/>
        </w:numPr>
      </w:pPr>
      <w:r>
        <w:rPr>
          <w:b/>
          <w:bCs/>
        </w:rPr>
        <w:t xml:space="preserve">Matthew 5:33–37; 12:31–32</w:t>
      </w:r>
      <w:r>
        <w:t xml:space="preserve"> </w:t>
      </w:r>
      <w:r>
        <w:t xml:space="preserve">— Jesus addresses the sanctity of oaths and the unforgivable sin against the Spirit, extending the logic of Leviticus 24’s blasphemy law into the New Covenant — the weight of the divine Name has not diminished but intensified.</w:t>
      </w:r>
    </w:p>
    <w:p>
      <w:pPr>
        <w:pStyle w:val="Compact"/>
        <w:numPr>
          <w:ilvl w:val="0"/>
          <w:numId w:val="1001"/>
        </w:numPr>
      </w:pPr>
      <w:r>
        <w:rPr>
          <w:b/>
          <w:bCs/>
        </w:rPr>
        <w:t xml:space="preserve">Acts 5:1–11</w:t>
      </w:r>
      <w:r>
        <w:t xml:space="preserve"> </w:t>
      </w:r>
      <w:r>
        <w:t xml:space="preserve">— The deaths of Ananias and Sapphira in the New Covenant community demonstrate that the principle underlying the blasphemy judgment (the holy God will not be mocked within His covenantal community) persists across the testaments, though its execution has shifted.</w:t>
      </w:r>
    </w:p>
    <w:p>
      <w:pPr>
        <w:pStyle w:val="Compact"/>
        <w:numPr>
          <w:ilvl w:val="0"/>
          <w:numId w:val="1001"/>
        </w:numPr>
      </w:pPr>
      <w:r>
        <w:rPr>
          <w:b/>
          <w:bCs/>
        </w:rPr>
        <w:t xml:space="preserve">Ephesians 2:11–22</w:t>
      </w:r>
      <w:r>
        <w:t xml:space="preserve"> </w:t>
      </w:r>
      <w:r>
        <w:t xml:space="preserve">— Paul’s declaration that Jew and Gentile are made one new man in Christ fulfills and transcends the equal-application principle of Leviticus 24:22 — what was judicial equality within a theocratic community becomes ontological unity in the body of Christ.</w:t>
      </w:r>
    </w:p>
    <w:p>
      <w:pPr>
        <w:pStyle w:val="Compact"/>
        <w:numPr>
          <w:ilvl w:val="0"/>
          <w:numId w:val="1001"/>
        </w:numPr>
      </w:pPr>
      <w:r>
        <w:rPr>
          <w:b/>
          <w:bCs/>
        </w:rPr>
        <w:t xml:space="preserve">Hebrews 10:26–31</w:t>
      </w:r>
      <w:r>
        <w:t xml:space="preserve"> </w:t>
      </w:r>
      <w:r>
        <w:t xml:space="preserve">— The warning against willful sin after receiving the knowledge of the truth, and the declaration that</w:t>
      </w:r>
      <w:r>
        <w:t xml:space="preserve"> </w:t>
      </w:r>
      <w:r>
        <w:t xml:space="preserve">“it is a fearful thing to fall into the hands of the living God,”</w:t>
      </w:r>
      <w:r>
        <w:t xml:space="preserve"> </w:t>
      </w:r>
      <w:r>
        <w:t xml:space="preserve">applies the gravity of Leviticus 24’s holiness logic to the New Covenant reader directly.</w:t>
      </w:r>
    </w:p>
    <w:p>
      <w:r>
        <w:pict>
          <v:rect style="width:0;height:1.5pt" o:hralign="center" o:hrstd="t" o:hr="t"/>
        </w:pict>
      </w:r>
    </w:p>
    <w:p>
      <w:pPr>
        <w:pStyle w:val="FirstParagraph"/>
      </w:pPr>
      <w:r>
        <w:rPr>
          <w:b/>
          <w:bCs/>
        </w:rPr>
        <w:t xml:space="preserve">Aim:</w:t>
      </w:r>
      <w:r>
        <w:t xml:space="preserve"> </w:t>
      </w:r>
      <w:r>
        <w:t xml:space="preserve">To press upon readers that the holiness of God is not a background assumption but a governing reality — one that makes perpetual, costly reverence the only fitting posture for those who live in His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Moses to instruct Israel to bring pure olive oil for the lampstand, to keep it burning continually</w:t>
            </w:r>
          </w:p>
        </w:tc>
        <w:tc>
          <w:tcPr/>
          <w:p>
            <w:pPr>
              <w:pStyle w:val="Compact"/>
            </w:pPr>
            <w:r>
              <w:t xml:space="preserve">“Pure”</w:t>
            </w:r>
            <w:r>
              <w:t xml:space="preserve"> </w:t>
            </w:r>
            <w:r>
              <w:t xml:space="preserve">(זַךְ,</w:t>
            </w:r>
            <w:r>
              <w:t xml:space="preserve"> </w:t>
            </w:r>
            <w:r>
              <w:rPr>
                <w:i/>
                <w:iCs/>
              </w:rPr>
              <w:t xml:space="preserve">zak</w:t>
            </w:r>
            <w:r>
              <w:t xml:space="preserve">) — pressed, beaten; costliness implied;</w:t>
            </w:r>
            <w:r>
              <w:t xml:space="preserve"> </w:t>
            </w:r>
            <w:r>
              <w:t xml:space="preserve">“continually”</w:t>
            </w:r>
            <w:r>
              <w:t xml:space="preserve"> </w:t>
            </w:r>
            <w:r>
              <w:t xml:space="preserve">signals perpetuity</w:t>
            </w:r>
          </w:p>
        </w:tc>
      </w:tr>
      <w:tr>
        <w:tc>
          <w:tcPr/>
          <w:p>
            <w:pPr>
              <w:pStyle w:val="Compact"/>
            </w:pPr>
            <w:r>
              <w:t xml:space="preserve">3</w:t>
            </w:r>
          </w:p>
        </w:tc>
        <w:tc>
          <w:tcPr/>
          <w:p>
            <w:pPr>
              <w:pStyle w:val="Compact"/>
            </w:pPr>
            <w:r>
              <w:t xml:space="preserve">Aaron’s responsibility: to tend the lamps from evening to morning before the LORD as a statute forever</w:t>
            </w:r>
          </w:p>
        </w:tc>
        <w:tc>
          <w:tcPr/>
          <w:p>
            <w:pPr>
              <w:pStyle w:val="Compact"/>
            </w:pPr>
            <w:r>
              <w:t xml:space="preserve">Aaron personally accountable;</w:t>
            </w:r>
            <w:r>
              <w:t xml:space="preserve"> </w:t>
            </w:r>
            <w:r>
              <w:t xml:space="preserve">“before the LORD”</w:t>
            </w:r>
            <w:r>
              <w:t xml:space="preserve"> </w:t>
            </w:r>
            <w:r>
              <w:t xml:space="preserve">(לִפְנֵי יְהוָה) — positional, spatial holiness</w:t>
            </w:r>
          </w:p>
        </w:tc>
      </w:tr>
      <w:tr>
        <w:tc>
          <w:tcPr/>
          <w:p>
            <w:pPr>
              <w:pStyle w:val="Compact"/>
            </w:pPr>
            <w:r>
              <w:t xml:space="preserve">4</w:t>
            </w:r>
          </w:p>
        </w:tc>
        <w:tc>
          <w:tcPr/>
          <w:p>
            <w:pPr>
              <w:pStyle w:val="Compact"/>
            </w:pPr>
            <w:r>
              <w:t xml:space="preserve">The lamps are on the pure gold lampstand (menorah)</w:t>
            </w:r>
          </w:p>
        </w:tc>
        <w:tc>
          <w:tcPr/>
          <w:p>
            <w:pPr>
              <w:pStyle w:val="Compact"/>
            </w:pPr>
            <w:r>
              <w:t xml:space="preserve">The material purity (gold) matches the oil purity — holiness is comprehensive, not partial</w:t>
            </w:r>
          </w:p>
        </w:tc>
      </w:tr>
      <w:tr>
        <w:tc>
          <w:tcPr/>
          <w:p>
            <w:pPr>
              <w:pStyle w:val="Compact"/>
            </w:pPr>
            <w:r>
              <w:t xml:space="preserve">5</w:t>
            </w:r>
          </w:p>
        </w:tc>
        <w:tc>
          <w:tcPr/>
          <w:p>
            <w:pPr>
              <w:pStyle w:val="Compact"/>
            </w:pPr>
            <w:r>
              <w:t xml:space="preserve">Instructions for making twelve loaves of fine flour, two-tenths of an ephah each</w:t>
            </w:r>
          </w:p>
        </w:tc>
        <w:tc>
          <w:tcPr/>
          <w:p>
            <w:pPr>
              <w:pStyle w:val="Compact"/>
            </w:pPr>
            <w:r>
              <w:t xml:space="preserve">Twelve loaves = twelve tribes — the showbread represents the full covenant people before God</w:t>
            </w:r>
          </w:p>
        </w:tc>
      </w:tr>
      <w:tr>
        <w:tc>
          <w:tcPr/>
          <w:p>
            <w:pPr>
              <w:pStyle w:val="Compact"/>
            </w:pPr>
            <w:r>
              <w:t xml:space="preserve">6</w:t>
            </w:r>
          </w:p>
        </w:tc>
        <w:tc>
          <w:tcPr/>
          <w:p>
            <w:pPr>
              <w:pStyle w:val="Compact"/>
            </w:pPr>
            <w:r>
              <w:t xml:space="preserve">Arranged in two rows of six on the pure gold table</w:t>
            </w:r>
          </w:p>
        </w:tc>
        <w:tc>
          <w:tcPr/>
          <w:p>
            <w:pPr>
              <w:pStyle w:val="Compact"/>
            </w:pPr>
            <w:r>
              <w:t xml:space="preserve">Order and precision reflect honor; nothing in the tabernacle is casual</w:t>
            </w:r>
          </w:p>
        </w:tc>
      </w:tr>
      <w:tr>
        <w:tc>
          <w:tcPr/>
          <w:p>
            <w:pPr>
              <w:pStyle w:val="Compact"/>
            </w:pPr>
            <w:r>
              <w:t xml:space="preserve">7</w:t>
            </w:r>
          </w:p>
        </w:tc>
        <w:tc>
          <w:tcPr/>
          <w:p>
            <w:pPr>
              <w:pStyle w:val="Compact"/>
            </w:pPr>
            <w:r>
              <w:t xml:space="preserve">Pure frankincense placed on each row as a memorial offering, a food offering to the LORD</w:t>
            </w:r>
          </w:p>
        </w:tc>
        <w:tc>
          <w:tcPr/>
          <w:p>
            <w:pPr>
              <w:pStyle w:val="Compact"/>
            </w:pPr>
            <w:r>
              <w:t xml:space="preserve">Frankincense as ascending, fragrant; the people’s offerings represented to God</w:t>
            </w:r>
          </w:p>
        </w:tc>
      </w:tr>
      <w:tr>
        <w:tc>
          <w:tcPr/>
          <w:p>
            <w:pPr>
              <w:pStyle w:val="Compact"/>
            </w:pPr>
            <w:r>
              <w:t xml:space="preserve">8</w:t>
            </w:r>
          </w:p>
        </w:tc>
        <w:tc>
          <w:tcPr/>
          <w:p>
            <w:pPr>
              <w:pStyle w:val="Compact"/>
            </w:pPr>
            <w:r>
              <w:t xml:space="preserve">Replaced every Sabbath as a perpetual covenant obligation</w:t>
            </w:r>
          </w:p>
        </w:tc>
        <w:tc>
          <w:tcPr/>
          <w:p>
            <w:pPr>
              <w:pStyle w:val="Compact"/>
            </w:pPr>
            <w:r>
              <w:t xml:space="preserve">The Sabbath rhythm structures the renewal of the community’s representation before God</w:t>
            </w:r>
          </w:p>
        </w:tc>
      </w:tr>
      <w:tr>
        <w:tc>
          <w:tcPr/>
          <w:p>
            <w:pPr>
              <w:pStyle w:val="Compact"/>
            </w:pPr>
            <w:r>
              <w:t xml:space="preserve">9</w:t>
            </w:r>
          </w:p>
        </w:tc>
        <w:tc>
          <w:tcPr/>
          <w:p>
            <w:pPr>
              <w:pStyle w:val="Compact"/>
            </w:pPr>
            <w:r>
              <w:t xml:space="preserve">Aaron and his sons eat it in the Holy Place — it is most holy, their portion from the LORD’s food offerings</w:t>
            </w:r>
          </w:p>
        </w:tc>
        <w:tc>
          <w:tcPr/>
          <w:p>
            <w:pPr>
              <w:pStyle w:val="Compact"/>
            </w:pPr>
            <w:r>
              <w:t xml:space="preserve">The priests eat what the people bring; the covenant meal is not private but representatively corporate</w:t>
            </w:r>
          </w:p>
        </w:tc>
      </w:tr>
      <w:tr>
        <w:tc>
          <w:tcPr/>
          <w:p>
            <w:pPr>
              <w:pStyle w:val="Compact"/>
            </w:pPr>
            <w:r>
              <w:t xml:space="preserve">10</w:t>
            </w:r>
          </w:p>
        </w:tc>
        <w:tc>
          <w:tcPr/>
          <w:p>
            <w:pPr>
              <w:pStyle w:val="Compact"/>
            </w:pPr>
            <w:r>
              <w:t xml:space="preserve">A man of mixed Israelite-Egyptian parentage gets into a fight in the camp</w:t>
            </w:r>
          </w:p>
        </w:tc>
        <w:tc>
          <w:tcPr/>
          <w:p>
            <w:pPr>
              <w:pStyle w:val="Compact"/>
            </w:pPr>
            <w:r>
              <w:t xml:space="preserve">The narrative begins with ethnic complexity — the incident will press the equal-application question</w:t>
            </w:r>
          </w:p>
        </w:tc>
      </w:tr>
      <w:tr>
        <w:tc>
          <w:tcPr/>
          <w:p>
            <w:pPr>
              <w:pStyle w:val="Compact"/>
            </w:pPr>
            <w:r>
              <w:t xml:space="preserve">11a</w:t>
            </w:r>
          </w:p>
        </w:tc>
        <w:tc>
          <w:tcPr/>
          <w:p>
            <w:pPr>
              <w:pStyle w:val="Compact"/>
            </w:pPr>
            <w:r>
              <w:t xml:space="preserve">During the fight the man blasphemes the Name and curses</w:t>
            </w:r>
          </w:p>
        </w:tc>
        <w:tc>
          <w:tcPr/>
          <w:p>
            <w:pPr>
              <w:pStyle w:val="Compact"/>
            </w:pPr>
            <w:r>
              <w:t xml:space="preserve">“The Name”</w:t>
            </w:r>
            <w:r>
              <w:t xml:space="preserve"> </w:t>
            </w:r>
            <w:r>
              <w:t xml:space="preserve">(הַשֵּׁם,</w:t>
            </w:r>
            <w:r>
              <w:t xml:space="preserve"> </w:t>
            </w:r>
            <w:r>
              <w:rPr>
                <w:i/>
                <w:iCs/>
              </w:rPr>
              <w:t xml:space="preserve">HaShem</w:t>
            </w:r>
            <w:r>
              <w:t xml:space="preserve">) — the Tetragrammaton; the blasphemy is specific and deliberate</w:t>
            </w:r>
          </w:p>
        </w:tc>
      </w:tr>
      <w:tr>
        <w:tc>
          <w:tcPr/>
          <w:p>
            <w:pPr>
              <w:pStyle w:val="Compact"/>
            </w:pPr>
            <w:r>
              <w:t xml:space="preserve">11b</w:t>
            </w:r>
          </w:p>
        </w:tc>
        <w:tc>
          <w:tcPr/>
          <w:p>
            <w:pPr>
              <w:pStyle w:val="Compact"/>
            </w:pPr>
            <w:r>
              <w:t xml:space="preserve">He is brought to Moses; his mother’s name and tribal identity recorded</w:t>
            </w:r>
          </w:p>
        </w:tc>
        <w:tc>
          <w:tcPr/>
          <w:p>
            <w:pPr>
              <w:pStyle w:val="Compact"/>
            </w:pPr>
            <w:r>
              <w:t xml:space="preserve">The legal precision of the record underscores that this is a real case, not a hypothetical</w:t>
            </w:r>
          </w:p>
        </w:tc>
      </w:tr>
      <w:tr>
        <w:tc>
          <w:tcPr/>
          <w:p>
            <w:pPr>
              <w:pStyle w:val="Compact"/>
            </w:pPr>
            <w:r>
              <w:t xml:space="preserve">12</w:t>
            </w:r>
          </w:p>
        </w:tc>
        <w:tc>
          <w:tcPr/>
          <w:p>
            <w:pPr>
              <w:pStyle w:val="Compact"/>
            </w:pPr>
            <w:r>
              <w:t xml:space="preserve">The man is held in custody while Moses seeks the LORD’s judgment</w:t>
            </w:r>
          </w:p>
        </w:tc>
        <w:tc>
          <w:tcPr/>
          <w:p>
            <w:pPr>
              <w:pStyle w:val="Compact"/>
            </w:pPr>
            <w:r>
              <w:t xml:space="preserve">The community does not presume to act — they wait for divine instruction; pattern of legal inquiry</w:t>
            </w:r>
          </w:p>
        </w:tc>
      </w:tr>
      <w:tr>
        <w:tc>
          <w:tcPr/>
          <w:p>
            <w:pPr>
              <w:pStyle w:val="Compact"/>
            </w:pPr>
            <w:r>
              <w:t xml:space="preserve">13–14</w:t>
            </w:r>
          </w:p>
        </w:tc>
        <w:tc>
          <w:tcPr/>
          <w:p>
            <w:pPr>
              <w:pStyle w:val="Compact"/>
            </w:pPr>
            <w:r>
              <w:t xml:space="preserve">God pronounces judgment: take him outside the camp; all who heard lay hands on his head; the congregation stones him</w:t>
            </w:r>
          </w:p>
        </w:tc>
        <w:tc>
          <w:tcPr/>
          <w:p>
            <w:pPr>
              <w:pStyle w:val="Compact"/>
            </w:pPr>
            <w:r>
              <w:t xml:space="preserve">“Outside the camp”</w:t>
            </w:r>
            <w:r>
              <w:t xml:space="preserve"> </w:t>
            </w:r>
            <w:r>
              <w:t xml:space="preserve">— expulsion before judgment; the community participates; the witnesses implicated</w:t>
            </w:r>
          </w:p>
        </w:tc>
      </w:tr>
      <w:tr>
        <w:tc>
          <w:tcPr/>
          <w:p>
            <w:pPr>
              <w:pStyle w:val="Compact"/>
            </w:pPr>
            <w:r>
              <w:t xml:space="preserve">15–16</w:t>
            </w:r>
          </w:p>
        </w:tc>
        <w:tc>
          <w:tcPr/>
          <w:p>
            <w:pPr>
              <w:pStyle w:val="Compact"/>
            </w:pPr>
            <w:r>
              <w:t xml:space="preserve">God states the law: anyone who curses God bears his sin; one who blasphemes the Name of the LORD shall be put to death — alien and native-born alike</w:t>
            </w:r>
          </w:p>
        </w:tc>
        <w:tc>
          <w:tcPr/>
          <w:p>
            <w:pPr>
              <w:pStyle w:val="Compact"/>
            </w:pPr>
            <w:r>
              <w:t xml:space="preserve">The law is codified from the case;</w:t>
            </w:r>
            <w:r>
              <w:t xml:space="preserve"> </w:t>
            </w:r>
            <w:r>
              <w:t xml:space="preserve">“alien and native-born alike”</w:t>
            </w:r>
            <w:r>
              <w:t xml:space="preserve"> </w:t>
            </w:r>
            <w:r>
              <w:t xml:space="preserve">— the first statement of equal application</w:t>
            </w:r>
          </w:p>
        </w:tc>
      </w:tr>
      <w:tr>
        <w:tc>
          <w:tcPr/>
          <w:p>
            <w:pPr>
              <w:pStyle w:val="Compact"/>
            </w:pPr>
            <w:r>
              <w:t xml:space="preserve">17</w:t>
            </w:r>
          </w:p>
        </w:tc>
        <w:tc>
          <w:tcPr/>
          <w:p>
            <w:pPr>
              <w:pStyle w:val="Compact"/>
            </w:pPr>
            <w:r>
              <w:t xml:space="preserve">Whoever takes a human life shall be put to death</w:t>
            </w:r>
          </w:p>
        </w:tc>
        <w:tc>
          <w:tcPr/>
          <w:p>
            <w:pPr>
              <w:pStyle w:val="Compact"/>
            </w:pPr>
            <w:r>
              <w:t xml:space="preserve">The lex talionis sequence begins with the most severe case — life for life</w:t>
            </w:r>
          </w:p>
        </w:tc>
      </w:tr>
      <w:tr>
        <w:tc>
          <w:tcPr/>
          <w:p>
            <w:pPr>
              <w:pStyle w:val="Compact"/>
            </w:pPr>
            <w:r>
              <w:t xml:space="preserve">18</w:t>
            </w:r>
          </w:p>
        </w:tc>
        <w:tc>
          <w:tcPr/>
          <w:p>
            <w:pPr>
              <w:pStyle w:val="Compact"/>
            </w:pPr>
            <w:r>
              <w:t xml:space="preserve">Whoever kills an animal shall make it good — life for life</w:t>
            </w:r>
          </w:p>
        </w:tc>
        <w:tc>
          <w:tcPr/>
          <w:p>
            <w:pPr>
              <w:pStyle w:val="Compact"/>
            </w:pPr>
            <w:r>
              <w:t xml:space="preserve">Distinctions of proportionality: human life ≠ animal life; both require restitution</w:t>
            </w:r>
          </w:p>
        </w:tc>
      </w:tr>
      <w:tr>
        <w:tc>
          <w:tcPr/>
          <w:p>
            <w:pPr>
              <w:pStyle w:val="Compact"/>
            </w:pPr>
            <w:r>
              <w:t xml:space="preserve">19–20</w:t>
            </w:r>
          </w:p>
        </w:tc>
        <w:tc>
          <w:tcPr/>
          <w:p>
            <w:pPr>
              <w:pStyle w:val="Compact"/>
            </w:pPr>
            <w:r>
              <w:t xml:space="preserve">Fracture for fracture, eye for eye, tooth for tooth — as the injury given, so it shall be received</w:t>
            </w:r>
          </w:p>
        </w:tc>
        <w:tc>
          <w:tcPr/>
          <w:p>
            <w:pPr>
              <w:pStyle w:val="Compact"/>
            </w:pPr>
            <w:r>
              <w:t xml:space="preserve">The classic lex talionis formula — proportionality as the governing principle</w:t>
            </w:r>
          </w:p>
        </w:tc>
      </w:tr>
      <w:tr>
        <w:tc>
          <w:tcPr/>
          <w:p>
            <w:pPr>
              <w:pStyle w:val="Compact"/>
            </w:pPr>
            <w:r>
              <w:t xml:space="preserve">21</w:t>
            </w:r>
          </w:p>
        </w:tc>
        <w:tc>
          <w:tcPr/>
          <w:p>
            <w:pPr>
              <w:pStyle w:val="Compact"/>
            </w:pPr>
            <w:r>
              <w:t xml:space="preserve">Whoever kills an animal makes restitution; whoever kills a person shall be put to death</w:t>
            </w:r>
          </w:p>
        </w:tc>
        <w:tc>
          <w:tcPr/>
          <w:p>
            <w:pPr>
              <w:pStyle w:val="Compact"/>
            </w:pPr>
            <w:r>
              <w:t xml:space="preserve">Summary restatement — the two tiers reinforced</w:t>
            </w:r>
          </w:p>
        </w:tc>
      </w:tr>
      <w:tr>
        <w:tc>
          <w:tcPr/>
          <w:p>
            <w:pPr>
              <w:pStyle w:val="Compact"/>
            </w:pPr>
            <w:r>
              <w:t xml:space="preserve">22</w:t>
            </w:r>
          </w:p>
        </w:tc>
        <w:tc>
          <w:tcPr/>
          <w:p>
            <w:pPr>
              <w:pStyle w:val="Compact"/>
            </w:pPr>
            <w:r>
              <w:t xml:space="preserve">One law for you — alien and native-born alike; I am the LORD your God</w:t>
            </w:r>
          </w:p>
        </w:tc>
        <w:tc>
          <w:tcPr/>
          <w:p>
            <w:pPr>
              <w:pStyle w:val="Compact"/>
            </w:pPr>
            <w:r>
              <w:t xml:space="preserve">The equal-application principle restated and grounded:</w:t>
            </w:r>
            <w:r>
              <w:t xml:space="preserve"> </w:t>
            </w:r>
            <w:r>
              <w:t xml:space="preserve">“I am the LORD your God”</w:t>
            </w:r>
            <w:r>
              <w:t xml:space="preserve"> </w:t>
            </w:r>
            <w:r>
              <w:t xml:space="preserve">— not sociological pragmatism but theological foundation</w:t>
            </w:r>
          </w:p>
        </w:tc>
      </w:tr>
      <w:tr>
        <w:tc>
          <w:tcPr/>
          <w:p>
            <w:pPr>
              <w:pStyle w:val="Compact"/>
            </w:pPr>
            <w:r>
              <w:t xml:space="preserve">23</w:t>
            </w:r>
          </w:p>
        </w:tc>
        <w:tc>
          <w:tcPr/>
          <w:p>
            <w:pPr>
              <w:pStyle w:val="Compact"/>
            </w:pPr>
            <w:r>
              <w:t xml:space="preserve">Moses speaks to Israel; they take the blasphemer outside the camp and stone him — just as the LORD commanded</w:t>
            </w:r>
          </w:p>
        </w:tc>
        <w:tc>
          <w:tcPr/>
          <w:p>
            <w:pPr>
              <w:pStyle w:val="Compact"/>
            </w:pPr>
            <w:r>
              <w:t xml:space="preserve">The community obeys exactly; the word</w:t>
            </w:r>
            <w:r>
              <w:t xml:space="preserve"> </w:t>
            </w:r>
            <w:r>
              <w:t xml:space="preserve">“commanded”</w:t>
            </w:r>
            <w:r>
              <w:t xml:space="preserve"> </w:t>
            </w:r>
            <w:r>
              <w:t xml:space="preserve">(צִוָּה,</w:t>
            </w:r>
            <w:r>
              <w:t xml:space="preserve"> </w:t>
            </w:r>
            <w:r>
              <w:rPr>
                <w:i/>
                <w:iCs/>
              </w:rPr>
              <w:t xml:space="preserve">tzivah</w:t>
            </w:r>
            <w:r>
              <w:t xml:space="preserve">) closes the loop — obedience to divine instruction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Perpetual Lampstand: Costly, Continuous Reverence for the LORD’s Presence</w:t>
            </w:r>
          </w:p>
        </w:tc>
      </w:tr>
      <w:tr>
        <w:tc>
          <w:tcPr/>
          <w:p>
            <w:pPr>
              <w:pStyle w:val="Compact"/>
            </w:pPr>
            <w:r>
              <w:t xml:space="preserve">2</w:t>
            </w:r>
          </w:p>
        </w:tc>
        <w:tc>
          <w:tcPr/>
          <w:p>
            <w:pPr>
              <w:pStyle w:val="Compact"/>
            </w:pPr>
            <w:r>
              <w:t xml:space="preserve">5–9</w:t>
            </w:r>
          </w:p>
        </w:tc>
        <w:tc>
          <w:tcPr/>
          <w:p>
            <w:pPr>
              <w:pStyle w:val="Compact"/>
            </w:pPr>
            <w:r>
              <w:t xml:space="preserve">The Weekly Showbread: The Covenant Community Represented Before God Every Sabbath</w:t>
            </w:r>
          </w:p>
        </w:tc>
      </w:tr>
      <w:tr>
        <w:tc>
          <w:tcPr/>
          <w:p>
            <w:pPr>
              <w:pStyle w:val="Compact"/>
            </w:pPr>
            <w:r>
              <w:t xml:space="preserve">3</w:t>
            </w:r>
          </w:p>
        </w:tc>
        <w:tc>
          <w:tcPr/>
          <w:p>
            <w:pPr>
              <w:pStyle w:val="Compact"/>
            </w:pPr>
            <w:r>
              <w:t xml:space="preserve">10–14</w:t>
            </w:r>
          </w:p>
        </w:tc>
        <w:tc>
          <w:tcPr/>
          <w:p>
            <w:pPr>
              <w:pStyle w:val="Compact"/>
            </w:pPr>
            <w:r>
              <w:t xml:space="preserve">The Blasphemy Incident: The Name Profaned, the Community Paused, the LORD Consulted</w:t>
            </w:r>
          </w:p>
        </w:tc>
      </w:tr>
      <w:tr>
        <w:tc>
          <w:tcPr/>
          <w:p>
            <w:pPr>
              <w:pStyle w:val="Compact"/>
            </w:pPr>
            <w:r>
              <w:t xml:space="preserve">4</w:t>
            </w:r>
          </w:p>
        </w:tc>
        <w:tc>
          <w:tcPr/>
          <w:p>
            <w:pPr>
              <w:pStyle w:val="Compact"/>
            </w:pPr>
            <w:r>
              <w:t xml:space="preserve">15–16</w:t>
            </w:r>
          </w:p>
        </w:tc>
        <w:tc>
          <w:tcPr/>
          <w:p>
            <w:pPr>
              <w:pStyle w:val="Compact"/>
            </w:pPr>
            <w:r>
              <w:t xml:space="preserve">The Law Codified: Death for Blasphemy — No Ethnic Exemption</w:t>
            </w:r>
          </w:p>
        </w:tc>
      </w:tr>
      <w:tr>
        <w:tc>
          <w:tcPr/>
          <w:p>
            <w:pPr>
              <w:pStyle w:val="Compact"/>
            </w:pPr>
            <w:r>
              <w:t xml:space="preserve">5</w:t>
            </w:r>
          </w:p>
        </w:tc>
        <w:tc>
          <w:tcPr/>
          <w:p>
            <w:pPr>
              <w:pStyle w:val="Compact"/>
            </w:pPr>
            <w:r>
              <w:t xml:space="preserve">17–22</w:t>
            </w:r>
          </w:p>
        </w:tc>
        <w:tc>
          <w:tcPr/>
          <w:p>
            <w:pPr>
              <w:pStyle w:val="Compact"/>
            </w:pPr>
            <w:r>
              <w:t xml:space="preserve">The Lex Talionis: Proportional Justice, Equal Application, Theological Foundation</w:t>
            </w:r>
          </w:p>
        </w:tc>
      </w:tr>
      <w:tr>
        <w:tc>
          <w:tcPr/>
          <w:p>
            <w:pPr>
              <w:pStyle w:val="Compact"/>
            </w:pPr>
            <w:r>
              <w:t xml:space="preserve">6</w:t>
            </w:r>
          </w:p>
        </w:tc>
        <w:tc>
          <w:tcPr/>
          <w:p>
            <w:pPr>
              <w:pStyle w:val="Compact"/>
            </w:pPr>
            <w:r>
              <w:t xml:space="preserve">23</w:t>
            </w:r>
          </w:p>
        </w:tc>
        <w:tc>
          <w:tcPr/>
          <w:p>
            <w:pPr>
              <w:pStyle w:val="Compact"/>
            </w:pPr>
            <w:r>
              <w:t xml:space="preserve">Obedience Rendered: The Community Executes the LORD’s Judgment Exactly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holiness governs sacred space, the divine Name, and covenant justice equally.</w:t>
      </w:r>
    </w:p>
    <w:p>
      <w:pPr>
        <w:pStyle w:val="BodyText"/>
      </w:pPr>
      <w:r>
        <w:rPr>
          <w:b/>
          <w:bCs/>
        </w:rPr>
        <w:t xml:space="preserve">Primary Claim:</w:t>
      </w:r>
      <w:r>
        <w:t xml:space="preserve"> </w:t>
      </w:r>
      <w:r>
        <w:t xml:space="preserve">God is pressing upon His covenant people that His holiness is not negotiable in any domain — not in the tabernacle’s lamplight, not in the Sabbath bread, not in a man’s mouth — and that the equal, exacting application of His justice is itself an expression of His grace toward a community that cannot survive His presence unguarded.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Holiness Is Not Compartmentalized</w:t>
      </w:r>
      <w:r>
        <w:t xml:space="preserve"> </w:t>
      </w:r>
      <w:r>
        <w:t xml:space="preserve">The structure of Leviticus 24 refuses to separate</w:t>
      </w:r>
      <w:r>
        <w:t xml:space="preserve"> </w:t>
      </w:r>
      <w:r>
        <w:t xml:space="preserve">“religious”</w:t>
      </w:r>
      <w:r>
        <w:t xml:space="preserve"> </w:t>
      </w:r>
      <w:r>
        <w:t xml:space="preserve">holiness (the lampstand, the showbread) from</w:t>
      </w:r>
      <w:r>
        <w:t xml:space="preserve"> </w:t>
      </w:r>
      <w:r>
        <w:t xml:space="preserve">“social”</w:t>
      </w:r>
      <w:r>
        <w:t xml:space="preserve"> </w:t>
      </w:r>
      <w:r>
        <w:t xml:space="preserve">holiness (the blasphemy law, the lex talionis). God governs both with the same precision and the same seriousness. Contemporary readers are tempted to maintain a sharp divide: what happens in corporate worship is</w:t>
      </w:r>
      <w:r>
        <w:t xml:space="preserve"> </w:t>
      </w:r>
      <w:r>
        <w:t xml:space="preserve">“sacred,”</w:t>
      </w:r>
      <w:r>
        <w:t xml:space="preserve"> </w:t>
      </w:r>
      <w:r>
        <w:t xml:space="preserve">while what happens in the neighborhood dispute, the workplace argument, or the casual speech of daily life is merely</w:t>
      </w:r>
      <w:r>
        <w:t xml:space="preserve"> </w:t>
      </w:r>
      <w:r>
        <w:t xml:space="preserve">“secular.”</w:t>
      </w:r>
      <w:r>
        <w:t xml:space="preserve"> </w:t>
      </w:r>
      <w:r>
        <w:t xml:space="preserve">This text dismantles that partition. The God whose presence required pure oil and arranged loaves is the same God who heard the words spoken in a fight between two men in the camp. Nothing is outside His domain. The first step toward genuine holiness is the renunciation of this compartmentalization — believing that God is present and attentive in every space and every speech act, not only during formal worship.</w:t>
      </w:r>
    </w:p>
    <w:p>
      <w:pPr>
        <w:pStyle w:val="BodyText"/>
      </w:pPr>
      <w:r>
        <w:rPr>
          <w:b/>
          <w:bCs/>
        </w:rPr>
        <w:t xml:space="preserve">2. [Affections/Worship] — The Weight of the Name You Carry</w:t>
      </w:r>
      <w:r>
        <w:t xml:space="preserve"> </w:t>
      </w:r>
      <w:r>
        <w:t xml:space="preserve">The man in the incident blasphemed</w:t>
      </w:r>
      <w:r>
        <w:t xml:space="preserve"> </w:t>
      </w:r>
      <w:r>
        <w:t xml:space="preserve">“the Name”</w:t>
      </w:r>
      <w:r>
        <w:t xml:space="preserve"> </w:t>
      </w:r>
      <w:r>
        <w:t xml:space="preserve">— not a generic deity but the covenant Name of the LORD who had brought Israel out of Egypt, who dwelt in the tabernacle in their midst, who spoke from the mercy seat. The severity of the judgment is incomprehensible apart from the weight of that Name. Christian readers bear a Name equally weighty — indeed more fully revealed. We have been baptized into the name of the Father, Son, and Holy Spirit; we pray</w:t>
      </w:r>
      <w:r>
        <w:t xml:space="preserve"> </w:t>
      </w:r>
      <w:r>
        <w:t xml:space="preserve">“hallowed be your Name”</w:t>
      </w:r>
      <w:r>
        <w:t xml:space="preserve">; we invoke the name of Christ in prayer, in oath, in community. The pastoral question this text presses is not merely behavioral (</w:t>
      </w:r>
      <w:r>
        <w:t xml:space="preserve">“do you swear casually?”</w:t>
      </w:r>
      <w:r>
        <w:t xml:space="preserve">) but affectional:</w:t>
      </w:r>
      <w:r>
        <w:t xml:space="preserve"> </w:t>
      </w:r>
      <w:r>
        <w:rPr>
          <w:i/>
          <w:iCs/>
        </w:rPr>
        <w:t xml:space="preserve">do you feel the weight of the Name you carry?</w:t>
      </w:r>
      <w:r>
        <w:t xml:space="preserve"> </w:t>
      </w:r>
      <w:r>
        <w:t xml:space="preserve">Reverence for the Name is not primarily a rule but a response — the response of those who have seen who God is and cannot treat His Name as common. Cultivating that reverence begins in the worship that rehearses the character of God with deliberate, costly attention.</w:t>
      </w:r>
    </w:p>
    <w:p>
      <w:pPr>
        <w:pStyle w:val="BodyText"/>
      </w:pPr>
      <w:r>
        <w:rPr>
          <w:b/>
          <w:bCs/>
        </w:rPr>
        <w:t xml:space="preserve">3. [Will/Behavior] — Costly, Continuous Attention to the Means of Grace</w:t>
      </w:r>
      <w:r>
        <w:t xml:space="preserve"> </w:t>
      </w:r>
      <w:r>
        <w:t xml:space="preserve">The lampstand did not burn by accident — it required someone to bring the right oil, press and beaten, and tend it continually. The showbread did not appear on the table by chance — it required someone to make twelve loaves, arrange them precisely, and replace them every Sabbath. Both commanded acts cost something, required repetition, and were performed not when convenient but as a permanent statute. For the Christian, the means of grace (Word, prayer, the Lord’s Table, gathered worship) are not self-maintaining. They require costly, repetitive, attentive tending. The application is concrete: identify which means of grace in your life has been allowed to go unlit — and recommit to the regular, costly attention that keeps it burning. Do not wait for spiritual renewal to come from nowhere. Tend the lamp.</w:t>
      </w:r>
    </w:p>
    <w:p>
      <w:pPr>
        <w:pStyle w:val="BodyText"/>
      </w:pPr>
      <w:r>
        <w:rPr>
          <w:b/>
          <w:bCs/>
        </w:rPr>
        <w:t xml:space="preserve">4. [Mind/Belief] — The Lex Talionis as Grace, Not Cruelty</w:t>
      </w:r>
      <w:r>
        <w:t xml:space="preserve"> </w:t>
      </w:r>
      <w:r>
        <w:t xml:space="preserve">Contemporary readers instinctively recoil from</w:t>
      </w:r>
      <w:r>
        <w:t xml:space="preserve"> </w:t>
      </w:r>
      <w:r>
        <w:t xml:space="preserve">“eye for eye, tooth for tooth”</w:t>
      </w:r>
      <w:r>
        <w:t xml:space="preserve"> </w:t>
      </w:r>
      <w:r>
        <w:t xml:space="preserve">as barbaric. This misreads the formula in both its ancient and canonical context. In the ancient Near East, justice was not proportional — it was retaliatory and status-dependent. The wealthy could destroy the poor for minor offenses; the powerful could escalate any dispute to maximum injury. The lex talionis formula imposed a ceiling:</w:t>
      </w:r>
      <w:r>
        <w:t xml:space="preserve"> </w:t>
      </w:r>
      <w:r>
        <w:rPr>
          <w:i/>
          <w:iCs/>
        </w:rPr>
        <w:t xml:space="preserve">no more than equivalent</w:t>
      </w:r>
      <w:r>
        <w:t xml:space="preserve"> </w:t>
      </w:r>
      <w:r>
        <w:t xml:space="preserve">penalty. It was a protection for the weak against the overreach of the strong. It was also the foundation of a community in which injuries were answered not by escalating private vengeance but by measured public justice. Far from cruelty, the principle is a form of mercy — it limits the damage a fallen community can do to itself. The Christian reader should understand that proportional justice is not a relic to be transcended but a foundation to be honored — and that Jesus’ fulfillment of this principle is not its abolition but its absorption: He bore the full and proportional weight of justice so that we might receive mercy without justice being violated.</w:t>
      </w:r>
    </w:p>
    <w:p>
      <w:pPr>
        <w:pStyle w:val="BodyText"/>
      </w:pPr>
      <w:r>
        <w:rPr>
          <w:b/>
          <w:bCs/>
        </w:rPr>
        <w:t xml:space="preserve">5. [Will/Behavior] — Pursue Justice Without Partiality</w:t>
      </w:r>
      <w:r>
        <w:t xml:space="preserve"> </w:t>
      </w:r>
      <w:r>
        <w:t xml:space="preserve">Verses 16 and 22 state twice that the law applies equally to the native-born Israelite and the resident alien. The theological ground given is not democratic principle or social equity — it is the character of God:</w:t>
      </w:r>
      <w:r>
        <w:t xml:space="preserve"> </w:t>
      </w:r>
      <w:r>
        <w:t xml:space="preserve">“I am the LORD your God.”</w:t>
      </w:r>
      <w:r>
        <w:t xml:space="preserve"> </w:t>
      </w:r>
      <w:r>
        <w:t xml:space="preserve">Equal justice is not an ideological commitment; it is a theological obligation flowing from the nature of the God who administers the law. For the Christian community, this means that partial justice — the kind that protects insiders and overlooks the grievances of outsiders, that applies rigorous standards to those who are different and generous standards to those who are familiar — is a theological failure before it is a social one. The concrete application: identify a place in your community, your church, or your relationships where you have unconsciously applied a double standard — stricter scrutiny for the stranger, more latitude for the familiar — and bring it under the equal standard of the God who declares</w:t>
      </w:r>
      <w:r>
        <w:t xml:space="preserve"> </w:t>
      </w:r>
      <w:r>
        <w:t xml:space="preserve">“one law for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24 teaches that the holiness of God is comprehensive, non-negotiable, and self-consistent — it admits no domain exemptions and no exceptions for social proximity or ethnic status. The passage displays God as the One whose presence in the camp is simultaneously the community’s greatest privilege and its most demanding obligation: He dwells there, but His holiness cannot be taken for granted. The passage also teaches that God’s law is not arbitrary but ordered — proportionality and equal application are not human inventions imposed upon divine command but expressions of the divine character (</w:t>
      </w:r>
      <w:r>
        <w:t xml:space="preserve">“I am the LORD your God”</w:t>
      </w:r>
      <w:r>
        <w:t xml:space="preserve">) operating through covenant legislation. Perhaps most significantly, the chapter teaches that the divine Name carries intrinsic weight — weight that is not diminished by familiarity, not suspended in conflict, and not reduced in force by the social status of the one who profanes it. God’s seriousness about His own Name is the theological bedrock from which His seriousness about all other aspects of covenant life proceeds.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24 functions within Reformed theology as a concentrated demonstration that law and gospel, severity and grace, are not opposites but partners in the economy of redemption. The severity of the blasphemy judgment is not a contradiction of God’s grace but its necessary condition — a community that cannot take the divine Name seriously cannot receive the fullness of what that Name promises. The equal-application principle (one law for alien and native-born alike) anticipates the Reformed understanding of the covenant of grace as the sole ground of belonging — not ethnic privilege, not social standing, but covenant membership under the holy God. Redemptive-historically, this chapter points forward to Christ as the one who both fulfills and absorbs the lex talionis: proportional justice executed in full, upon Himself, so that the justice the community’s sin demanded could be satisfied without the community’s destruction. The lampstand and showbread, read through this lens, are not merely ceremonial curiosities but types of the Light of the world (John 8:12) and the Bread of life (John 6:35) — the True Priest who tends the true sanctuary perpetually, whose offering does not need weekly replacement because His sacrifice is once for all.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required pure oil and carefully arranged bread in the tabernacle is the same God who would not tolerate the profanation of His Name in a fight between two men in the camp — and He is the same God present with you today. His holiness does not soften at the edges of the sanctuary. It extends into your speech, your disputes, your standards of justice, and your daily habits of attention to His means of grace. The appropriate response is not terror but reverent, costly, joyful attentiveness — the posture of those who know that the One dwelling in their midst bore the full weight of the judgment their own profanations deserved.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three unrelated units.</w:t>
      </w:r>
      <w:r>
        <w:t xml:space="preserve"> </w:t>
      </w:r>
      <w:r>
        <w:t xml:space="preserve">The most common structural error is preaching the lampstand, the showbread, and the blasphemy incident as three separate, loosely connected topics that happen to share a chapter. This misses the chapter’s governing theme: the holiness of God is comprehensive and admits no domain exemptions. The preacher should work to demonstrate the unified claim before dividing the material for exposition.</w:t>
      </w:r>
    </w:p>
    <w:p>
      <w:pPr>
        <w:numPr>
          <w:ilvl w:val="0"/>
          <w:numId w:val="1002"/>
        </w:numPr>
      </w:pPr>
      <w:r>
        <w:rPr>
          <w:b/>
          <w:bCs/>
        </w:rPr>
        <w:t xml:space="preserve">Spiritualizing the ritual laws without honoring their original force.</w:t>
      </w:r>
      <w:r>
        <w:t xml:space="preserve"> </w:t>
      </w:r>
      <w:r>
        <w:t xml:space="preserve">There is a legitimate and important move from the lampstand and showbread to their fulfillment in Christ (John 6, 8). But this move is often made too quickly, bypassing the demand the laws themselves placed on Israel — costly, regular, precise attention to the maintenance of God’s presence. The typological fulfillment does not negate the original obligation; it grounds a new form of the same obligation for the New Covenant reader.</w:t>
      </w:r>
    </w:p>
    <w:p>
      <w:pPr>
        <w:numPr>
          <w:ilvl w:val="0"/>
          <w:numId w:val="1002"/>
        </w:numPr>
      </w:pPr>
      <w:r>
        <w:rPr>
          <w:b/>
          <w:bCs/>
        </w:rPr>
        <w:t xml:space="preserve">Moralizing the blasphemy incident as</w:t>
      </w:r>
      <w:r>
        <w:rPr>
          <w:b/>
          <w:bCs/>
        </w:rPr>
        <w:t xml:space="preserve"> </w:t>
      </w:r>
      <w:r>
        <w:rPr>
          <w:b/>
          <w:bCs/>
        </w:rPr>
        <w:t xml:space="preserve">“watch your language.”</w:t>
      </w:r>
      <w:r>
        <w:t xml:space="preserve"> </w:t>
      </w:r>
      <w:r>
        <w:t xml:space="preserve">The blasphemy law is not primarily about profanity habits. It is about the weight of the divine Name — who God is, what He has done, and what His Name represents in the covenant relationship. Reducing this to a lesson about swearing produces shallow behavioral application and misses the theological gravity of the passage entirely.</w:t>
      </w:r>
    </w:p>
    <w:p>
      <w:pPr>
        <w:numPr>
          <w:ilvl w:val="0"/>
          <w:numId w:val="1002"/>
        </w:numPr>
      </w:pPr>
      <w:r>
        <w:rPr>
          <w:b/>
          <w:bCs/>
        </w:rPr>
        <w:t xml:space="preserve">Apologizing for the death penalty rather than explaining it.</w:t>
      </w:r>
      <w:r>
        <w:t xml:space="preserve"> </w:t>
      </w:r>
      <w:r>
        <w:t xml:space="preserve">Preachers often feel pressure to distance themselves from the severity of the blasphemy judgment, either explaining it as culturally conditioned or quickly moving past it. This is a homiletical failure. The death penalty here is doing theological work — it reveals the absolute seriousness of the holiness of God in a way that no mitigated penalty could. The preacher should press into the severity rather than away from it, asking: what does this tell us about the weight of the thing being violated? And then: who bore that weight for us?</w:t>
      </w:r>
    </w:p>
    <w:p>
      <w:pPr>
        <w:numPr>
          <w:ilvl w:val="0"/>
          <w:numId w:val="1002"/>
        </w:numPr>
      </w:pPr>
      <w:r>
        <w:rPr>
          <w:b/>
          <w:bCs/>
        </w:rPr>
        <w:t xml:space="preserve">Missing the redemptive-historical trajectory of the lex talionis.</w:t>
      </w:r>
      <w:r>
        <w:t xml:space="preserve"> </w:t>
      </w:r>
      <w:r>
        <w:t xml:space="preserve">The eye-for-eye formula is neither primitive barbarism nor a simple moral principle to be transcended. It is the foundation of proportional justice that points forward to the cross — where the full, proportional penalty for sin was exacted, upon Christ, so that justice and mercy could embrace. Preaching that treats the formula only as a foil for Jesus’ Sermon on the Mount teaching misses the positive theological work the formula accomplishes and leaves the congregation without a robust understanding of penal substitution’s legal logic.</w:t>
      </w:r>
    </w:p>
    <w:p>
      <w:pPr>
        <w:numPr>
          <w:ilvl w:val="0"/>
          <w:numId w:val="1002"/>
        </w:numPr>
      </w:pPr>
      <w:r>
        <w:rPr>
          <w:b/>
          <w:bCs/>
        </w:rPr>
        <w:t xml:space="preserve">Failing to press the equal-application principle concretely.</w:t>
      </w:r>
      <w:r>
        <w:t xml:space="preserve"> </w:t>
      </w:r>
      <w:r>
        <w:t xml:space="preserve">Verses 16 and 22 make a striking and repeatable claim: one law, alien and native-born alike. This claim is often noted and then passed over without concrete application. But the text grounds this equality not in social ethics but in the character of God (</w:t>
      </w:r>
      <w:r>
        <w:t xml:space="preserve">“I am the LORD your God”</w:t>
      </w:r>
      <w:r>
        <w:t xml:space="preserve">), which makes partiality not merely unfair but theologically unfaithful. The preacher should press this into the actual community being addressed — where are the double standards? Who are the resident aliens in this congregation’s orbit who receive different justice than the native insiders?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2026-07-14T21:01:44Z</dcterms:created>
  <dcterms:modified xsi:type="dcterms:W3CDTF">2026-07-14T21:01:44Z</dcterms:modified>
</cp:coreProperties>
</file>

<file path=docProps/custom.xml><?xml version="1.0" encoding="utf-8"?>
<Properties xmlns="http://schemas.openxmlformats.org/officeDocument/2006/custom-properties" xmlns:vt="http://schemas.openxmlformats.org/officeDocument/2006/docPropsVTypes"/>
</file>